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0" w:type="dxa"/>
        <w:tblW w:w="10182" w:type="dxa"/>
        <w:tblLook w:val="01E0" w:firstRow="1" w:lastRow="1" w:firstColumn="1" w:lastColumn="1" w:noHBand="0" w:noVBand="0"/>
      </w:tblPr>
      <w:tblGrid>
        <w:gridCol w:w="1530"/>
        <w:gridCol w:w="627"/>
        <w:gridCol w:w="396"/>
        <w:gridCol w:w="1751"/>
        <w:gridCol w:w="531"/>
        <w:gridCol w:w="506"/>
        <w:gridCol w:w="584"/>
        <w:gridCol w:w="587"/>
        <w:gridCol w:w="1961"/>
        <w:gridCol w:w="1709"/>
      </w:tblGrid>
      <w:tr>
        <w:trPr>
          <w:cantSplit w:val="0"/>
          <w:trHeight w:val="1210" w:hRule="atLeast"/>
        </w:trPr>
        <w:tc>
          <w:tcPr>
            <w:tcW w:w="10182" w:type="dxa"/>
            <w:gridSpan w:val="10"/>
            <w:tmTcPr id="1776929434" protected="0"/>
          </w:tcPr>
          <w:p>
            <w:pPr>
              <w:spacing/>
              <w:jc w:val="center"/>
              <w:widowControl w:val="0"/>
            </w:pPr>
            <w:r>
              <w:rPr>
                <w:noProof/>
              </w:rPr>
              <w:drawing>
                <wp:inline distT="0" distB="0" distL="0" distR="0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Герб30"/>
                          <pic:cNvPicPr>
                            <a:picLocks noChangeAspect="1"/>
                            <a:extLst>
                              <a:ext uri="sm">
                                <sm:smNativeData xmlns:sm="sm" val="SMDATA_16_msrp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</w:p>
        </w:tc>
      </w:tr>
      <w:tr>
        <w:trPr>
          <w:cantSplit w:val="0"/>
          <w:trHeight w:val="1336" w:hRule="atLeast"/>
        </w:trPr>
        <w:tc>
          <w:tcPr>
            <w:tcW w:w="10182" w:type="dxa"/>
            <w:gridSpan w:val="10"/>
            <w:tmTcPr id="1776929434" protected="0"/>
          </w:tcPr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Анжеро-Судженский городской округ</w:t>
            </w:r>
          </w:p>
          <w:p>
            <w:pPr>
              <w:spacing w:line="276" w:lineRule="auto"/>
              <w:jc w:val="center"/>
              <w:widowControl w:val="0"/>
              <w:rPr>
                <w:b/>
                <w:caps/>
                <w:sz w:val="28"/>
                <w:szCs w:val="28"/>
              </w:rPr>
            </w:pPr>
            <w:r/>
            <w:bookmarkStart w:id="0" w:name="r06"/>
            <w:r/>
            <w:r>
              <w:rPr>
                <w:b/>
                <w:caps/>
                <w:sz w:val="28"/>
                <w:szCs w:val="28"/>
              </w:rPr>
              <w:t>Администрация Анжеро-Судженского</w:t>
            </w:r>
            <w:r/>
            <w:bookmarkEnd w:id="0"/>
            <w:r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  <w:r>
              <w:rPr>
                <w:b/>
                <w:caps/>
                <w:sz w:val="28"/>
                <w:szCs w:val="28"/>
              </w:rPr>
            </w:r>
          </w:p>
          <w:p>
            <w:pPr>
              <w:spacing w:line="360" w:lineRule="auto"/>
              <w:jc w:val="center"/>
              <w:widowControl w:val="0"/>
              <w:rPr>
                <w:rFonts w:ascii="Arial Narrow" w:hAnsi="Arial Narrow"/>
                <w:b/>
                <w:caps/>
                <w:sz w:val="26"/>
                <w:szCs w:val="26"/>
              </w:rPr>
            </w:pPr>
            <w:r>
              <w:rPr>
                <w:rFonts w:ascii="Arial Narrow" w:hAnsi="Arial Narrow"/>
                <w:b/>
                <w:caps/>
                <w:sz w:val="26"/>
                <w:szCs w:val="26"/>
              </w:rPr>
            </w:r>
          </w:p>
        </w:tc>
      </w:tr>
      <w:tr>
        <w:trPr>
          <w:cantSplit w:val="0"/>
          <w:trHeight w:val="493" w:hRule="exact"/>
        </w:trPr>
        <w:tc>
          <w:tcPr>
            <w:tcW w:w="10182" w:type="dxa"/>
            <w:gridSpan w:val="10"/>
            <w:tmTcPr id="1776929434" protected="0"/>
          </w:tcPr>
          <w:p>
            <w:pPr>
              <w:spacing/>
              <w:jc w:val="center"/>
              <w:widowControl w:val="0"/>
              <w:rPr>
                <w:rFonts w:ascii="Arial Narrow" w:hAnsi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  <w:r>
              <w:rPr>
                <w:rFonts w:ascii="Arial Narrow" w:hAnsi="Arial Narrow"/>
                <w:b/>
                <w:caps/>
              </w:rPr>
            </w:r>
          </w:p>
        </w:tc>
      </w:tr>
      <w:tr>
        <w:trPr>
          <w:cantSplit w:val="0"/>
          <w:trHeight w:val="267" w:hRule="atLeast"/>
        </w:trPr>
        <w:tc>
          <w:tcPr>
            <w:tcW w:w="10182" w:type="dxa"/>
            <w:gridSpan w:val="10"/>
            <w:tmTcPr id="1776929434" protected="0"/>
          </w:tcPr>
          <w:p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cantSplit w:val="0"/>
          <w:trHeight w:val="339" w:hRule="atLeast"/>
        </w:trPr>
        <w:tc>
          <w:tcPr>
            <w:tcW w:w="1530" w:type="dxa"/>
            <w:tmTcPr id="1776929434" protected="0"/>
          </w:tcPr>
          <w:p>
            <w:pPr>
              <w:ind w:right="33"/>
              <w:spacing/>
              <w:jc w:val="righ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627" w:type="dxa"/>
            <w:tcBorders>
              <w:bottom w:val="single" w:sz="4" w:space="0" w:color="000000" tmln="10, 20, 20, 0, 0"/>
            </w:tcBorders>
            <w:tmTcPr id="1776929434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6" w:type="dxa"/>
            <w:tmTcPr id="1776929434" protected="0"/>
          </w:tcPr>
          <w:p>
            <w:pPr>
              <w:spacing/>
              <w:jc w:val="both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51" w:type="dxa"/>
            <w:tcBorders>
              <w:bottom w:val="single" w:sz="4" w:space="0" w:color="000000" tmln="10, 20, 20, 0, 0"/>
            </w:tcBorders>
            <w:tmTcPr id="1776929434" protected="0"/>
          </w:tcPr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апреля</w:t>
            </w:r>
          </w:p>
        </w:tc>
        <w:tc>
          <w:tcPr>
            <w:tcW w:w="531" w:type="dxa"/>
            <w:tmTcPr id="1776929434" protected="0"/>
          </w:tcPr>
          <w:p>
            <w:pPr>
              <w:ind w:right="-76"/>
              <w:spacing/>
              <w:jc w:val="right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06" w:type="dxa"/>
            <w:tcBorders>
              <w:bottom w:val="single" w:sz="4" w:space="0" w:color="000000" tmln="10, 20, 20, 0, 0"/>
            </w:tcBorders>
            <w:tmTcPr id="1776929434" protected="0"/>
          </w:tcPr>
          <w:p>
            <w:pPr>
              <w:ind w:right="-152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84" w:type="dxa"/>
            <w:tmTcPr id="1776929434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</w:t>
            </w:r>
          </w:p>
        </w:tc>
        <w:tc>
          <w:tcPr>
            <w:tcW w:w="587" w:type="dxa"/>
            <w:tmTcPr id="1776929434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961" w:type="dxa"/>
            <w:tcBorders>
              <w:bottom w:val="single" w:sz="4" w:space="0" w:color="000000" tmln="10, 20, 20, 0, 0"/>
            </w:tcBorders>
            <w:tmTcPr id="1776929434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  <w:r/>
            <w:bookmarkStart w:id="1" w:name="_GoBack"/>
            <w:r/>
            <w:bookmarkEnd w:id="1"/>
            <w:r/>
            <w:r>
              <w:rPr>
                <w:sz w:val="28"/>
                <w:szCs w:val="28"/>
              </w:rPr>
            </w:r>
          </w:p>
        </w:tc>
        <w:tc>
          <w:tcPr>
            <w:tcW w:w="1709" w:type="dxa"/>
            <w:tmTcPr id="1776929434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cantSplit w:val="0"/>
          <w:trHeight w:val="371" w:hRule="atLeast"/>
        </w:trPr>
        <w:tc>
          <w:tcPr>
            <w:tcW w:w="10182" w:type="dxa"/>
            <w:gridSpan w:val="10"/>
            <w:tmTcPr id="1776929434" protected="0"/>
          </w:tcPr>
          <w:p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spacing/>
              <w:jc w:val="center"/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ind w:firstLine="709"/>
        <w:spacing/>
        <w:jc w:val="center"/>
      </w:pPr>
      <w:r>
        <w:rPr>
          <w:rFonts w:eastAsia="Calibri"/>
          <w:b/>
          <w:bCs/>
          <w:sz w:val="28"/>
          <w:szCs w:val="28"/>
        </w:rPr>
        <w:t>О внесении изменений в постановление администрации Анжеро-Судженского городского округа от  26.04.2024 № 320 «Об утверждении плана мероприятий («дорожной карты») по инвентаризации  и оценке эффективности мер социальной поддержки граждан,  финансовое обеспечение которых осуществляется за счет средств бюджета муниципального образования «Анжеро-Судженский городской округ»</w:t>
      </w:r>
      <w:r/>
    </w:p>
    <w:p>
      <w:pPr>
        <w:pStyle w:val="para10"/>
        <w:ind w:firstLine="709"/>
        <w: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ind w:firstLine="709"/>
        <w:spacing/>
        <w:jc w:val="both"/>
      </w:pPr>
      <w:r>
        <w:rPr>
          <w:rFonts w:ascii="PT Astra Serif" w:hAnsi="PT Astra Serif"/>
          <w:sz w:val="28"/>
          <w:szCs w:val="28"/>
        </w:rPr>
        <w:t>Руководствуясь Соглашением от 26.02.2026 № 2026/04 о мерах по социально-экономическому развитию и оздоровлению муниципальных финансов Анжеро-Судженского городского округа Кемеровской области – Кузбасса</w:t>
      </w:r>
      <w:r/>
    </w:p>
    <w:p>
      <w:pPr>
        <w:ind w:firstLine="709"/>
        <w:spacing/>
        <w:jc w:val="both"/>
      </w:pPr>
      <w:r>
        <w:rPr>
          <w:rFonts w:ascii="PT Astra Serif" w:hAnsi="PT Astra Serif"/>
          <w:sz w:val="28"/>
          <w:szCs w:val="28"/>
        </w:rPr>
        <w:t xml:space="preserve">1. План мероприятий («дорожную карту») по инвентаризации  и оценке эффективности мер социальной поддержки граждан,  финансовое обеспечение которых осуществляется за счет средств бюджета муниципального образования «Анжеро-Судженский городской округ», утвержденный постановлением администрации Анжеро-Судженского городского округа от  26.04.2024 № 320, изложить в новой редакции согласно приложению к настоящему постановлению. </w:t>
      </w:r>
      <w:r/>
    </w:p>
    <w:p>
      <w:pPr>
        <w:ind w:firstLine="709"/>
        <w:spacing/>
        <w:jc w:val="both"/>
      </w:pPr>
      <w:r>
        <w:rPr>
          <w:rFonts w:ascii="PT Astra Serif" w:hAnsi="PT Astra Serif"/>
          <w:bCs/>
          <w:sz w:val="28"/>
          <w:szCs w:val="28"/>
        </w:rPr>
        <w:t>2. Разместить настоящее постановление на официальном сайте Анжеро-Судженского городского округа в информационно-телекоммуникационной сети «Интернет», электронный адрес: www.anzhero.ru.</w:t>
      </w:r>
      <w:r/>
    </w:p>
    <w:p>
      <w:pPr>
        <w:ind w:firstLine="709"/>
        <w:spacing/>
        <w:jc w:val="both"/>
      </w:pPr>
      <w:r>
        <w:rPr>
          <w:rFonts w:ascii="PT Astra Serif" w:hAnsi="PT Astra Serif"/>
          <w:bCs/>
          <w:sz w:val="28"/>
          <w:szCs w:val="28"/>
        </w:rPr>
        <w:t>3. Контроль за исполнением постановления возложить на начальника финансового управления администрации Анжеро-Судженского городского округа Зачиняеву Е.Н.</w:t>
      </w:r>
      <w:r/>
    </w:p>
    <w:p>
      <w:pPr>
        <w:ind w:firstLine="709"/>
        <w:spacing/>
        <w:jc w:val="both"/>
      </w:pPr>
      <w:r>
        <w:rPr>
          <w:rFonts w:ascii="PT Astra Serif" w:hAnsi="PT Astra Serif"/>
          <w:bCs/>
          <w:sz w:val="28"/>
          <w:szCs w:val="28"/>
        </w:rPr>
        <w:t>4. Настоящее постановление вступает в силу со дня подписания.</w:t>
      </w:r>
      <w:r/>
    </w:p>
    <w:p>
      <w:pPr>
        <w:ind w:firstLine="709"/>
        <w:spacing/>
        <w:jc w:val="both"/>
        <w:rPr>
          <w:rFonts w:ascii="PT Astra Serif" w:hAnsi="PT Astra Serif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2" behindDoc="1" locked="0" layoutInCell="0" hidden="0" allowOverlap="1">
            <wp:simplePos x="0" y="0"/>
            <wp:positionH relativeFrom="page">
              <wp:posOffset>3669665</wp:posOffset>
            </wp:positionH>
            <wp:positionV relativeFrom="page">
              <wp:posOffset>9229090</wp:posOffset>
            </wp:positionV>
            <wp:extent cx="1390650" cy="1390650"/>
            <wp:effectExtent l="0" t="0" r="0" b="0"/>
            <wp:wrapNone/>
            <wp:docPr id="2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/>
                    <pic:cNvPicPr>
                      <a:picLocks noChangeAspect="1"/>
                      <a:extLst>
                        <a:ext uri="sm">
                          <sm:smNativeData xmlns:sm="sm" val="SMDATA_16_msrp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IAAAAAAAAAAAAAAAAAAAAAQAAAAAAAACTFgAAAQAAAAAAAADGOAAAjggAAI4IAAAAAAAAkxYAAMY4AAAoAAAACAAAAAEAAAABAAAA"/>
                        </a:ext>
                      </a:extLst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T Astra Serif" w:hAnsi="PT Astra Serif"/>
          <w:bCs/>
          <w:sz w:val="28"/>
          <w:szCs w:val="28"/>
        </w:rPr>
      </w:r>
    </w:p>
    <w:p>
      <w:pPr>
        <w:ind w:firstLine="709"/>
        <w: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И.о. главы городского округа</w:t>
        <w:tab/>
        <w:tab/>
        <w:t xml:space="preserve">                  </w:t>
        <w:tab/>
        <w:tab/>
        <w:tab/>
        <w:t xml:space="preserve">Е.А. Жогаль </w:t>
      </w:r>
      <w:r>
        <w:rPr>
          <w:rFonts w:ascii="PT Astra Serif" w:hAnsi="PT Astra Serif"/>
          <w:sz w:val="28"/>
          <w:szCs w:val="28"/>
        </w:rPr>
      </w:r>
    </w:p>
    <w:p>
      <w:pPr>
        <w:ind w:firstLine="709"/>
        <w:spacing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</w:r>
    </w:p>
    <w:p>
      <w:pPr>
        <w:spacing/>
        <w:jc w:val="right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Приложение к постановлению администрации </w:t>
      </w:r>
    </w:p>
    <w:p>
      <w:pPr>
        <w:spacing/>
        <w:jc w:val="right"/>
        <w:rPr>
          <w:color w:val="000000"/>
          <w:szCs w:val="28"/>
        </w:rPr>
      </w:pPr>
      <w:r>
        <w:rPr>
          <w:color w:val="000000"/>
          <w:szCs w:val="28"/>
        </w:rPr>
        <w:t>Анжеро-Судженского городского округа</w:t>
      </w:r>
    </w:p>
    <w:p>
      <w:pPr>
        <w:spacing/>
        <w:jc w:val="right"/>
        <w:rPr>
          <w:color w:val="000000"/>
          <w:szCs w:val="28"/>
        </w:rPr>
      </w:pPr>
      <w:r>
        <w:rPr>
          <w:color w:val="000000"/>
          <w:szCs w:val="28"/>
        </w:rPr>
        <w:t>От 22 апреля 2026г № 250</w:t>
      </w:r>
    </w:p>
    <w:p>
      <w:pPr>
        <w:spacing/>
        <w:jc w:val="right"/>
        <w:outlineLvl w:val="0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spacing/>
        <w:jc w:val="right"/>
        <w:outlineLvl w:val="0"/>
        <w:rPr>
          <w:color w:val="000000"/>
          <w:szCs w:val="28"/>
        </w:rPr>
      </w:pPr>
      <w:r>
        <w:rPr>
          <w:color w:val="000000"/>
          <w:szCs w:val="28"/>
        </w:rPr>
        <w:t xml:space="preserve">Утвержден </w:t>
      </w:r>
    </w:p>
    <w:p>
      <w:pPr>
        <w:spacing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постановлением администрации </w:t>
      </w:r>
    </w:p>
    <w:p>
      <w:pPr>
        <w:spacing/>
        <w:jc w:val="right"/>
        <w:rPr>
          <w:color w:val="000000"/>
          <w:szCs w:val="28"/>
        </w:rPr>
      </w:pPr>
      <w:r>
        <w:rPr>
          <w:color w:val="000000"/>
          <w:szCs w:val="28"/>
        </w:rPr>
        <w:t>Анжеро-Судженского городского округа</w:t>
      </w:r>
    </w:p>
    <w:p>
      <w:pPr>
        <w:spacing/>
        <w:jc w:val="right"/>
        <w:outlineLvl w:val="0"/>
      </w:pPr>
      <w:r>
        <w:rPr>
          <w:rFonts w:eastAsia="PT Astra Serif;Arial" w:cs="PT Astra Serif;Arial"/>
          <w:color w:val="000000"/>
        </w:rPr>
        <w:t xml:space="preserve"> </w:t>
      </w:r>
      <w:r>
        <w:rPr>
          <w:color w:val="000000"/>
        </w:rPr>
        <w:t>от 26.04.2024 № 320</w:t>
      </w:r>
      <w:r/>
    </w:p>
    <w:p>
      <w:pPr>
        <w:spacing/>
        <w:jc w:val="right"/>
        <w:outlineLvl w:val="0"/>
      </w:pPr>
      <w:r/>
    </w:p>
    <w:p>
      <w:pPr>
        <w:spacing/>
        <w:jc w:val="right"/>
        <w:outlineLvl w:val="0"/>
      </w:pPr>
      <w:r/>
    </w:p>
    <w:p>
      <w:pPr>
        <w:spacing/>
        <w:jc w:val="center"/>
      </w:pPr>
      <w:r>
        <w:rPr>
          <w:b/>
          <w:color w:val="000000"/>
          <w:szCs w:val="28"/>
        </w:rPr>
        <w:t>План мероприятий («дорожная карта») по инвентаризации  и оценке эффективности мер социальной поддержки граждан,  финансовое обеспечение которых осуществляется за счет средств бюджета муниципального образования «Анжеро-Судженский городской округ»</w:t>
      </w:r>
      <w:r/>
    </w:p>
    <w:p>
      <w:pPr>
        <w:rPr>
          <w:rFonts w:cs="PT Astra Serif;Arial"/>
          <w:b/>
          <w:szCs w:val="28"/>
        </w:rPr>
      </w:pPr>
      <w:r>
        <w:rPr>
          <w:rFonts w:cs="PT Astra Serif;Arial"/>
          <w:b/>
          <w:szCs w:val="28"/>
        </w:rPr>
      </w:r>
    </w:p>
    <w:tbl>
      <w:tblPr>
        <w:tblStyle w:val="NormalTable"/>
        <w:name w:val="Таблица2"/>
        <w:tabOrder w:val="0"/>
        <w:jc w:val="left"/>
        <w:tblInd w:w="55" w:type="dxa"/>
        <w:tblW w:w="9360" w:type="dxa"/>
        <w:pPr>
          <w:ind w:left="55"/>
        </w:pPr>
        <w:tblLook w:val="04A0" w:firstRow="1" w:lastRow="0" w:firstColumn="1" w:lastColumn="0" w:noHBand="0" w:noVBand="1"/>
      </w:tblPr>
      <w:tblGrid>
        <w:gridCol w:w="477"/>
        <w:gridCol w:w="1788"/>
        <w:gridCol w:w="2835"/>
        <w:gridCol w:w="2610"/>
        <w:gridCol w:w="1650"/>
      </w:tblGrid>
      <w:tr>
        <w:trPr>
          <w:cantSplit w:val="0"/>
          <w:trHeight w:val="0" w:hRule="auto"/>
        </w:trPr>
        <w:tc>
          <w:tcPr>
            <w:tcW w:w="477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№</w:t>
            </w:r>
            <w:r>
              <w:rPr>
                <w:rFonts w:ascii="PT Astra Serif" w:hAnsi="PT Astra Serif"/>
              </w:rPr>
            </w:r>
          </w:p>
          <w:p>
            <w:pPr>
              <w:pStyle w:val="para13"/>
              <w: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п/п</w:t>
            </w:r>
            <w:r>
              <w:rPr>
                <w:rFonts w:ascii="PT Astra Serif" w:hAnsi="PT Astra Serif"/>
              </w:rPr>
            </w:r>
          </w:p>
        </w:tc>
        <w:tc>
          <w:tcPr>
            <w:tcW w:w="178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Наименование мероприятия</w:t>
            </w:r>
            <w:r>
              <w:rPr>
                <w:rFonts w:ascii="PT Astra Serif" w:hAnsi="PT Astra Serif"/>
              </w:rPr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Ответственные исполнители</w:t>
            </w:r>
            <w:r>
              <w:rPr>
                <w:rFonts w:ascii="PT Astra Serif" w:hAnsi="PT Astra Serif"/>
              </w:rPr>
            </w:r>
          </w:p>
        </w:tc>
        <w:tc>
          <w:tcPr>
            <w:tcW w:w="261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spacing/>
              <w:jc w:val="center"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 w:eastAsia="Tahoma"/>
                <w:color w:val="000000"/>
                <w:lang w:eastAsia="zh-cn" w:bidi="hi-in"/>
              </w:rPr>
              <w:t>Ожидаемый результат</w:t>
            </w:r>
            <w:r>
              <w:rPr>
                <w:rFonts w:ascii="PT Astra Serif" w:hAnsi="PT Astra Serif"/>
              </w:rPr>
            </w:r>
          </w:p>
        </w:tc>
        <w:tc>
          <w:tcPr>
            <w:tcW w:w="165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Срок исполнения</w:t>
            </w:r>
            <w:r>
              <w:rPr>
                <w:rFonts w:ascii="PT Astra Serif" w:hAnsi="PT Astra Serif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77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1</w:t>
            </w:r>
            <w:r>
              <w:rPr>
                <w:rFonts w:ascii="PT Astra Serif" w:hAnsi="PT Astra Serif"/>
              </w:rPr>
            </w:r>
          </w:p>
        </w:tc>
        <w:tc>
          <w:tcPr>
            <w:tcW w:w="178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2</w:t>
            </w:r>
            <w:r>
              <w:rPr>
                <w:rFonts w:ascii="PT Astra Serif" w:hAnsi="PT Astra Serif"/>
              </w:rPr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3</w:t>
            </w:r>
            <w:r>
              <w:rPr>
                <w:rFonts w:ascii="PT Astra Serif" w:hAnsi="PT Astra Serif"/>
              </w:rPr>
            </w:r>
          </w:p>
        </w:tc>
        <w:tc>
          <w:tcPr>
            <w:tcW w:w="261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center"/>
              <w:rPr>
                <w:rFonts w:ascii="PT Astra Serif" w:hAnsi="PT Astra Serif" w:cs="PT Astra Serif;Arial"/>
              </w:rPr>
            </w:pPr>
            <w:r>
              <w:rPr>
                <w:rFonts w:ascii="PT Astra Serif" w:hAnsi="PT Astra Serif" w:cs="PT Astra Serif;Arial"/>
              </w:rPr>
              <w:t>4</w:t>
            </w:r>
          </w:p>
        </w:tc>
        <w:tc>
          <w:tcPr>
            <w:tcW w:w="165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5</w:t>
            </w:r>
            <w:r>
              <w:rPr>
                <w:rFonts w:ascii="PT Astra Serif" w:hAnsi="PT Astra Serif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77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1</w:t>
            </w:r>
            <w:r>
              <w:rPr>
                <w:rFonts w:ascii="PT Astra Serif" w:hAnsi="PT Astra Serif"/>
              </w:rPr>
            </w:r>
          </w:p>
        </w:tc>
        <w:tc>
          <w:tcPr>
            <w:tcW w:w="178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Проведение инвентаризации мер социальной поддержки граждан</w:t>
            </w:r>
            <w:r>
              <w:rPr>
                <w:rFonts w:ascii="PT Astra Serif" w:hAnsi="PT Astra Serif"/>
              </w:rPr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spacing/>
              <w:jc w:val="both"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Главные распорядители средств бюджета муниципального образования «Анжеро-Судженский городской округ», ответственные за предоставление мер социальной поддержки</w:t>
            </w:r>
          </w:p>
        </w:tc>
        <w:tc>
          <w:tcPr>
            <w:tcW w:w="261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Выявление неэффективных мер социальной поддержки граждан и (или) дублирующих меры социальной поддержки, финансовое обеспечение которых относится к полномочиям Российской Федерации и (или) Кемеровской области — Кузбасса </w:t>
            </w:r>
          </w:p>
        </w:tc>
        <w:tc>
          <w:tcPr>
            <w:tcW w:w="165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 xml:space="preserve">Ежегодно до </w:t>
            </w:r>
            <w:r>
              <w:rPr>
                <w:rFonts w:ascii="PT Astra Serif" w:hAnsi="PT Astra Serif"/>
              </w:rPr>
            </w:r>
          </w:p>
          <w:p>
            <w:pPr>
              <w:pStyle w:val="para13"/>
              <w: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1 мая текущего года</w:t>
            </w:r>
            <w:r>
              <w:rPr>
                <w:rFonts w:ascii="PT Astra Serif" w:hAnsi="PT Astra Serif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77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2</w:t>
            </w:r>
            <w:r>
              <w:rPr>
                <w:rFonts w:ascii="PT Astra Serif" w:hAnsi="PT Astra Serif"/>
              </w:rPr>
            </w:r>
          </w:p>
        </w:tc>
        <w:tc>
          <w:tcPr>
            <w:tcW w:w="178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Анализ выявленных в ходе проведения инвентаризации неэффективных и дублирующих мер социальной поддержки, оценка причин и последствий выявленных фактов</w:t>
            </w:r>
            <w:r>
              <w:rPr>
                <w:rFonts w:ascii="PT Astra Serif" w:hAnsi="PT Astra Serif"/>
              </w:rPr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Главные распорядители средств бюджета муниципального образования «Анжеро-Судженский городской округ», ответственные за предоставление мер социальной поддержки</w:t>
            </w:r>
            <w:r>
              <w:rPr>
                <w:rFonts w:ascii="PT Astra Serif" w:hAnsi="PT Astra Serif"/>
              </w:rPr>
            </w:r>
          </w:p>
        </w:tc>
        <w:tc>
          <w:tcPr>
            <w:tcW w:w="261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Повышение результативности и обеспечение комплексного подхода к предоставлению мер социальной поддержки</w:t>
            </w:r>
          </w:p>
        </w:tc>
        <w:tc>
          <w:tcPr>
            <w:tcW w:w="165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Ежегодно до  1 июля текущего года</w:t>
            </w:r>
            <w:r>
              <w:rPr>
                <w:rFonts w:ascii="PT Astra Serif" w:hAnsi="PT Astra Serif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77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3</w:t>
            </w:r>
            <w:r>
              <w:rPr>
                <w:rFonts w:ascii="PT Astra Serif" w:hAnsi="PT Astra Serif"/>
              </w:rPr>
            </w:r>
          </w:p>
        </w:tc>
        <w:tc>
          <w:tcPr>
            <w:tcW w:w="178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spacing/>
              <w:jc w:val="both"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 w:eastAsia="Calibri" w:cs="PT Astra Serif;Arial"/>
                <w:lang w:eastAsia="en-us"/>
              </w:rPr>
              <w:t>Формирование предложений по результатам проведенной инвентаризации</w:t>
            </w:r>
            <w:r>
              <w:rPr>
                <w:rFonts w:ascii="PT Astra Serif" w:hAnsi="PT Astra Serif"/>
              </w:rPr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Главные распорядители средств бюджета муниципального образования «Анжеро-Судженский городской округ», ответственные за предоставление мер социальной поддержки</w:t>
            </w:r>
            <w:r>
              <w:rPr>
                <w:rFonts w:ascii="PT Astra Serif" w:hAnsi="PT Astra Serif"/>
              </w:rPr>
            </w:r>
          </w:p>
        </w:tc>
        <w:tc>
          <w:tcPr>
            <w:tcW w:w="261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Оптимизация системы мер социальной поддержки граждан, принятие решений о дальнейшем предоставлении мер социальной поддержки гражданам, дублирующих федеральные и (или) региональные меры социальной поддержки или установленные в дополнение к ним</w:t>
            </w:r>
          </w:p>
        </w:tc>
        <w:tc>
          <w:tcPr>
            <w:tcW w:w="165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929434" protected="0"/>
          </w:tcPr>
          <w:p>
            <w:pPr>
              <w:spacing w:after="200"/>
              <w:jc w:val="both"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 w:eastAsia="Calibri" w:cs="PT Astra Serif;Arial"/>
                <w:lang w:eastAsia="en-us"/>
              </w:rPr>
              <w:t>При необходимости постоянно</w:t>
            </w:r>
            <w:r>
              <w:rPr>
                <w:rFonts w:ascii="PT Astra Serif" w:hAnsi="PT Astra Serif"/>
              </w:rPr>
            </w:r>
          </w:p>
        </w:tc>
      </w:tr>
      <w:tr>
        <w:trPr>
          <w:cantSplit w:val="0"/>
          <w:trHeight w:val="0" w:hRule="auto"/>
        </w:trPr>
        <w:tc>
          <w:tcPr>
            <w:tcW w:w="477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4</w:t>
            </w:r>
            <w:r>
              <w:rPr>
                <w:rFonts w:ascii="PT Astra Serif" w:hAnsi="PT Astra Serif"/>
              </w:rPr>
            </w:r>
          </w:p>
        </w:tc>
        <w:tc>
          <w:tcPr>
            <w:tcW w:w="178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Разработка и (или) внесение изменений в нормативные правовые акты</w:t>
            </w:r>
            <w:r>
              <w:rPr>
                <w:rFonts w:ascii="PT Astra Serif" w:hAnsi="PT Astra Serif"/>
              </w:rPr>
            </w:r>
          </w:p>
          <w:p>
            <w:pPr>
              <w:pStyle w:val="para13"/>
              <w: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муниципального образования Анжеро-Судженский городской округ,  регулирующие предоставление мер социальной поддержки</w:t>
            </w:r>
            <w:r>
              <w:rPr>
                <w:rFonts w:ascii="PT Astra Serif" w:hAnsi="PT Astra Serif"/>
              </w:rPr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Главные распорядители средств бюджета муниципального образования «Анжеро-Судженский городской округ», ответственные за предоставление мер социальной поддержки</w:t>
            </w:r>
            <w:r>
              <w:rPr>
                <w:rFonts w:ascii="PT Astra Serif" w:hAnsi="PT Astra Serif"/>
              </w:rPr>
            </w:r>
          </w:p>
        </w:tc>
        <w:tc>
          <w:tcPr>
            <w:tcW w:w="261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ind w:left="-57" w:right="-113"/>
              <w:spacing w:after="200"/>
              <w:keepLines/>
              <w:widowControl w:val="0"/>
              <w:tabs defTabSz="708">
                <w:tab w:val="left" w:pos="111" w:leader="none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Актуализация нормативных правовых актов муниципального образования Анжеро-Судженский городской округ,  регулирующие предоставление мер социальной поддержки</w:t>
            </w:r>
          </w:p>
        </w:tc>
        <w:tc>
          <w:tcPr>
            <w:tcW w:w="165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929434" protected="0"/>
          </w:tcPr>
          <w:p>
            <w:pPr>
              <w:ind w:left="-57" w:right="-113"/>
              <w:spacing w:after="200"/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При необходимости постоянно</w:t>
            </w:r>
          </w:p>
        </w:tc>
      </w:tr>
      <w:tr>
        <w:trPr>
          <w:cantSplit w:val="0"/>
          <w:trHeight w:val="0" w:hRule="auto"/>
        </w:trPr>
        <w:tc>
          <w:tcPr>
            <w:tcW w:w="477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rPr>
                <w:rFonts w:ascii="PT Astra Serif" w:hAnsi="PT Astra Serif" w:cs="PT Astra Serif;Arial"/>
              </w:rPr>
            </w:pPr>
            <w:r>
              <w:rPr>
                <w:rFonts w:ascii="PT Astra Serif" w:hAnsi="PT Astra Serif" w:cs="PT Astra Serif;Arial"/>
              </w:rPr>
              <w:t>5</w:t>
            </w:r>
          </w:p>
        </w:tc>
        <w:tc>
          <w:tcPr>
            <w:tcW w:w="1788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both"/>
              <w:rPr>
                <w:rFonts w:ascii="PT Astra Serif" w:hAnsi="PT Astra Serif" w:cs="PT Astra Serif;Arial"/>
              </w:rPr>
            </w:pPr>
            <w:r>
              <w:rPr>
                <w:rFonts w:ascii="PT Astra Serif" w:hAnsi="PT Astra Serif" w:cs="PT Astra Serif;Arial"/>
              </w:rPr>
              <w:t>Предоставление информации в финансовое управление администрации Анжеро-Судженского городского округа об итогах проведения инвентаризации и оценки эффективности мер социальной поддержки (принятых решениях)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pStyle w:val="para13"/>
              <w:spacing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;Arial"/>
              </w:rPr>
              <w:t>Главные распорядители средств бюджета муниципального образования «Анжеро-Судженский городской округ», ответственные за предоставление мер социальной поддержки</w:t>
            </w:r>
            <w:r>
              <w:rPr>
                <w:rFonts w:ascii="PT Astra Serif" w:hAnsi="PT Astra Serif"/>
              </w:rPr>
            </w:r>
          </w:p>
        </w:tc>
        <w:tc>
          <w:tcPr>
            <w:tcW w:w="261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</w:tcBorders>
            <w:tmTcPr id="1776929434" protected="0"/>
          </w:tcPr>
          <w:p>
            <w:pPr>
              <w:ind w:left="-57" w:right="-113"/>
              <w:spacing w:after="200"/>
              <w:keepLines/>
              <w:widowControl w:val="0"/>
              <w:tabs defTabSz="708">
                <w:tab w:val="left" w:pos="111" w:leader="none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  <w:tc>
          <w:tcPr>
            <w:tcW w:w="1650" w:type="dxa"/>
            <w:tcMar>
              <w:top w:w="55" w:type="dxa"/>
              <w:left w:w="55" w:type="dxa"/>
              <w:bottom w:w="55" w:type="dxa"/>
              <w:right w:w="55" w:type="dxa"/>
            </w:tcMar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76929434" protected="0"/>
          </w:tcPr>
          <w:p>
            <w:pPr>
              <w:ind w:left="-57" w:right="-57"/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Ежеквартально в срок до</w:t>
            </w:r>
          </w:p>
          <w:p>
            <w:pPr>
              <w:ind w:left="-57" w:right="-57"/>
              <w:keepLines/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15-го числа месяца, следующего за отчетным кварталом, начиная с отчета на 01.07.2026</w:t>
            </w:r>
          </w:p>
        </w:tc>
      </w:tr>
    </w:tbl>
    <w:p>
      <w:pPr>
        <w:spacing/>
        <w:jc w:val="right"/>
        <w:outlineLvl w:val="0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9"/>
      <w:type w:val="nextPage"/>
      <w:pgSz w:h="16838" w:w="11906"/>
      <w:pgMar w:left="1701" w:top="1560" w:right="850" w:bottom="1134" w:header="1134" w:footer="0"/>
      <w:paperSrc w:first="0" w:other="0" a="0" b="0"/>
      <w:pgNumType w:fmt="decimal"/>
      <w:titlePg/>
      <w:tmGutter w:val="3"/>
      <w:mirrorMargins w:val="0"/>
      <w:tmSection w:h="-2">
        <w:tmHeader w:id="0" w:h="0" edge="1134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charset w:val="00"/>
    <w:family w:val="swiss"/>
    <w:pitch w:val="default"/>
  </w:font>
  <w:font w:name="Times New Roman">
    <w:charset w:val="00"/>
    <w:family w:val="roman"/>
    <w:pitch w:val="default"/>
  </w:font>
  <w:font w:name="Tahoma">
    <w:charset w:val="00"/>
    <w:family w:val="swiss"/>
    <w:pitch w:val="default"/>
  </w:font>
  <w:font w:name="PT Astra Serif">
    <w:charset w:val="00"/>
    <w:family w:val="roman"/>
    <w:pitch w:val="default"/>
  </w:font>
  <w:font w:name="Noto Sans Devanagari">
    <w:charset w:val="00"/>
    <w:family w:val="roman"/>
    <w:pitch w:val="default"/>
  </w:font>
  <w:font w:name="Arial">
    <w:charset w:val="00"/>
    <w:family w:val="swiss"/>
    <w:pitch w:val="default"/>
  </w:font>
  <w:font w:name="Arial Narrow">
    <w:charset w:val="00"/>
    <w:family w:val="swiss"/>
    <w:pitch w:val="default"/>
  </w:font>
  <w:font w:name="PT Astra Serif;Arial">
    <w:charset w:val="00"/>
    <w:family w:val="roman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8"/>
      <w:spacing/>
      <w:jc w:val="center"/>
    </w:pPr>
    <w:r>
      <w:fldChar w:fldCharType="begin"/>
      <w:instrText xml:space="preserve"> PAGE </w:instrText>
      <w:fldChar w:fldCharType="separate"/>
      <w:t>3</w:t>
      <w:fldChar w:fldCharType="end"/>
    </w:r>
  </w:p>
  <w:p>
    <w:pPr>
      <w:pStyle w:val="para8"/>
    </w:pP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view w:val="print"/>
  <w:defaultTabStop w:val="708"/>
  <w:autoHyphenation w:val="1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/>
  <w:shapeDefaults>
    <o:shapedefaults v:ext="edit" spidmax="2049"/>
    <o:shapelayout v:ext="edit">
      <o:rules v:ext="edit"/>
    </o:shapelayout>
  </w:shapeDefaults>
  <w:tmPrefOne w:val="17"/>
  <w:tmPrefTwo w:val="1"/>
  <w:tmFmtPref w:val="18927524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7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14"/>
      <w:tmLastPosIdx w:val="24"/>
    </w:tmLastPosCaret>
    <w:tmLastPosAnchor>
      <w:tmLastPosPgfIdx w:val="0"/>
      <w:tmLastPosIdx w:val="0"/>
    </w:tmLastPosAnchor>
    <w:tmLastPosTblRect w:left="0" w:top="0" w:right="0" w:bottom="0"/>
  </w:tmLastPos>
  <w:tmAppRevision w:date="1776929434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7" w:customStyle="1">
    <w:name w:val="Колонтитул"/>
    <w:qFormat/>
    <w:basedOn w:val="para0"/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 w:customStyle="1">
    <w:name w:val="ConsPlusNormal"/>
    <w:qFormat/>
    <w:pPr>
      <w:widowControl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styleId="para11" w:customStyle="1">
    <w:name w:val="ConsPlusTitle"/>
    <w:qFormat/>
    <w:pPr>
      <w:widowControl w:val="0"/>
    </w:pPr>
    <w:rPr>
      <w:rFonts w:ascii="Arial" w:hAnsi="Arial" w:eastAsia="Times New Roman" w:cs="Arial"/>
      <w:b/>
      <w:bCs/>
      <w:lang w:val="ru-ru" w:eastAsia="en-us" w:bidi="ar-sa"/>
    </w:rPr>
  </w:style>
  <w:style w:type="paragraph" w:styleId="para12" w:customStyle="1">
    <w:name w:val="Default"/>
    <w:qFormat/>
    <w:rPr>
      <w:rFonts w:ascii="Calibri" w:hAnsi="Calibri" w:eastAsia="Calibri" w:cs="Calibri"/>
      <w:color w:val="000000"/>
      <w:sz w:val="24"/>
      <w:szCs w:val="24"/>
      <w:lang w:val="ru-ru" w:eastAsia="en-us" w:bidi="ar-sa"/>
    </w:rPr>
  </w:style>
  <w:style w:type="paragraph" w:styleId="para13" w:customStyle="1">
    <w:name w:val="Содержимое таблицы"/>
    <w:qFormat/>
    <w:basedOn w:val="para0"/>
    <w:pPr>
      <w:suppressLineNumbers/>
      <w:widowControl w:val="0"/>
    </w:pPr>
  </w:style>
  <w:style w:type="paragraph" w:styleId="para14" w:customStyle="1">
    <w:name w:val="Заголовок таблицы"/>
    <w:qFormat/>
    <w:basedOn w:val="para13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2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3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4">
    <w:name w:val="Hyperlink"/>
    <w:rPr>
      <w:color w:val="000080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/>
        <w:hyphenationLines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">
    <w:name w:val="Title"/>
    <w:qFormat/>
    <w:basedOn w:val="para0"/>
    <w:next w:val="para2"/>
    <w:pPr>
      <w:spacing w:before="240" w:after="120"/>
      <w:keepNext/>
    </w:pPr>
    <w:rPr>
      <w:rFonts w:ascii="PT Astra Serif" w:hAnsi="PT Astra Serif" w:eastAsia="Tahoma" w:cs="Noto Sans Devanagari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ascii="PT Astra Serif" w:hAnsi="PT Astra Serif" w:cs="Noto Sans Devanagari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para5">
    <w:name w:val="Index Heading"/>
    <w:qFormat/>
    <w:basedOn w:val="para0"/>
    <w:pPr>
      <w:suppressLineNumbers/>
    </w:pPr>
    <w:rPr>
      <w:rFonts w:ascii="PT Astra Serif" w:hAnsi="PT Astra Serif" w:cs="Noto Sans Devanagari"/>
    </w:rPr>
  </w:style>
  <w:style w:type="paragraph" w:styleId="para6">
    <w:name w:val="Balloon Text"/>
    <w:qFormat/>
    <w:basedOn w:val="para0"/>
    <w:rPr>
      <w:rFonts w:ascii="Tahoma" w:hAnsi="Tahoma" w:cs="Tahoma"/>
      <w:sz w:val="16"/>
      <w:szCs w:val="16"/>
    </w:rPr>
  </w:style>
  <w:style w:type="paragraph" w:styleId="para7" w:customStyle="1">
    <w:name w:val="Колонтитул"/>
    <w:qFormat/>
    <w:basedOn w:val="para0"/>
  </w:style>
  <w:style w:type="paragraph" w:styleId="para8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9">
    <w:name w:val="Foot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10" w:customStyle="1">
    <w:name w:val="ConsPlusNormal"/>
    <w:qFormat/>
    <w:pPr>
      <w:widowControl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styleId="para11" w:customStyle="1">
    <w:name w:val="ConsPlusTitle"/>
    <w:qFormat/>
    <w:pPr>
      <w:widowControl w:val="0"/>
    </w:pPr>
    <w:rPr>
      <w:rFonts w:ascii="Arial" w:hAnsi="Arial" w:eastAsia="Times New Roman" w:cs="Arial"/>
      <w:b/>
      <w:bCs/>
      <w:lang w:val="ru-ru" w:eastAsia="en-us" w:bidi="ar-sa"/>
    </w:rPr>
  </w:style>
  <w:style w:type="paragraph" w:styleId="para12" w:customStyle="1">
    <w:name w:val="Default"/>
    <w:qFormat/>
    <w:rPr>
      <w:rFonts w:ascii="Calibri" w:hAnsi="Calibri" w:eastAsia="Calibri" w:cs="Calibri"/>
      <w:color w:val="000000"/>
      <w:sz w:val="24"/>
      <w:szCs w:val="24"/>
      <w:lang w:val="ru-ru" w:eastAsia="en-us" w:bidi="ar-sa"/>
    </w:rPr>
  </w:style>
  <w:style w:type="paragraph" w:styleId="para13" w:customStyle="1">
    <w:name w:val="Содержимое таблицы"/>
    <w:qFormat/>
    <w:basedOn w:val="para0"/>
    <w:pPr>
      <w:suppressLineNumbers/>
      <w:widowControl w:val="0"/>
    </w:pPr>
  </w:style>
  <w:style w:type="paragraph" w:styleId="para14" w:customStyle="1">
    <w:name w:val="Заголовок таблицы"/>
    <w:qFormat/>
    <w:basedOn w:val="para13"/>
    <w:pPr>
      <w:spacing/>
      <w:jc w:val="center"/>
    </w:pPr>
    <w:rPr>
      <w:b/>
      <w:bCs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eastAsia="ru-ru"/>
    </w:rPr>
  </w:style>
  <w:style w:type="character" w:styleId="char2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3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4">
    <w:name w:val="Hyperlink"/>
    <w:rPr>
      <w:color w:val="000080"/>
      <w:u w:color="auto" w:val="single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Муратова</dc:creator>
  <cp:keywords/>
  <dc:description/>
  <cp:lastModifiedBy/>
  <cp:revision>27</cp:revision>
  <cp:lastPrinted>2026-04-22T12:55:00Z</cp:lastPrinted>
  <dcterms:created xsi:type="dcterms:W3CDTF">2022-03-28T05:46:00Z</dcterms:created>
  <dcterms:modified xsi:type="dcterms:W3CDTF">2026-04-23T07:30:34Z</dcterms:modified>
</cp:coreProperties>
</file>